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B9" w:rsidRDefault="00F914B9" w:rsidP="00F914B9">
      <w:pPr>
        <w:jc w:val="center"/>
        <w:rPr>
          <w:rFonts w:ascii="仿宋_GB2312" w:eastAsia="仿宋_GB2312"/>
          <w:sz w:val="32"/>
          <w:szCs w:val="32"/>
        </w:rPr>
      </w:pPr>
      <w:bookmarkStart w:id="0" w:name="_GoBack"/>
      <w:r>
        <w:rPr>
          <w:rFonts w:ascii="仿宋_GB2312" w:eastAsia="仿宋_GB2312" w:hint="eastAsia"/>
          <w:sz w:val="32"/>
          <w:szCs w:val="32"/>
        </w:rPr>
        <w:t>学院承接任务一览表</w:t>
      </w:r>
    </w:p>
    <w:tbl>
      <w:tblPr>
        <w:tblW w:w="5000" w:type="pct"/>
        <w:tblLook w:val="04A0" w:firstRow="1" w:lastRow="0" w:firstColumn="1" w:lastColumn="0" w:noHBand="0" w:noVBand="1"/>
      </w:tblPr>
      <w:tblGrid>
        <w:gridCol w:w="817"/>
        <w:gridCol w:w="991"/>
        <w:gridCol w:w="7252"/>
      </w:tblGrid>
      <w:tr w:rsidR="00F914B9" w:rsidRPr="00E96633" w:rsidTr="009635DB">
        <w:trPr>
          <w:trHeight w:val="397"/>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bookmarkEnd w:id="0"/>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序号</w:t>
            </w:r>
          </w:p>
        </w:tc>
        <w:tc>
          <w:tcPr>
            <w:tcW w:w="547" w:type="pct"/>
            <w:tcBorders>
              <w:top w:val="single" w:sz="4" w:space="0" w:color="auto"/>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宋体" w:hAnsi="宋体" w:cs="宋体"/>
                <w:bCs/>
                <w:color w:val="000000"/>
                <w:kern w:val="0"/>
                <w:szCs w:val="21"/>
              </w:rPr>
            </w:pPr>
            <w:r w:rsidRPr="00234831">
              <w:rPr>
                <w:rFonts w:ascii="宋体" w:hAnsi="宋体" w:cs="宋体" w:hint="eastAsia"/>
                <w:bCs/>
                <w:color w:val="000000"/>
                <w:kern w:val="0"/>
                <w:szCs w:val="21"/>
              </w:rPr>
              <w:t>编号</w:t>
            </w:r>
          </w:p>
        </w:tc>
        <w:tc>
          <w:tcPr>
            <w:tcW w:w="4002" w:type="pct"/>
            <w:tcBorders>
              <w:top w:val="single" w:sz="4" w:space="0" w:color="auto"/>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宋体" w:hAnsi="宋体" w:cs="宋体"/>
                <w:bCs/>
                <w:color w:val="000000"/>
                <w:kern w:val="0"/>
                <w:szCs w:val="21"/>
              </w:rPr>
            </w:pPr>
            <w:r w:rsidRPr="00234831">
              <w:rPr>
                <w:rFonts w:ascii="宋体" w:hAnsi="宋体" w:cs="宋体" w:hint="eastAsia"/>
                <w:bCs/>
                <w:color w:val="000000"/>
                <w:kern w:val="0"/>
                <w:szCs w:val="21"/>
              </w:rPr>
              <w:t>工作任务</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RW-1</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加强与信誉良好的国际组织、跨国企业以及职业教育发达国家开展交流与合作</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RW-2</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学习和引进国际先进成熟适用的职业标准、专业课程、教材体系和数字化教育资源</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RW-3</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选择类型相同、专业相近的国（境）外高水平院校联合开发课程，共建专业、实验室或实训基地，建立教师交流、学生交换、学分互认等合作关系</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4</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RW-4</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支持高等职业</w:t>
            </w:r>
            <w:proofErr w:type="gramStart"/>
            <w:r w:rsidRPr="00234831">
              <w:rPr>
                <w:rFonts w:ascii="宋体" w:hAnsi="宋体" w:cs="宋体" w:hint="eastAsia"/>
                <w:color w:val="000000"/>
                <w:kern w:val="0"/>
                <w:szCs w:val="21"/>
              </w:rPr>
              <w:t>院校申办</w:t>
            </w:r>
            <w:proofErr w:type="gramEnd"/>
            <w:r w:rsidRPr="00234831">
              <w:rPr>
                <w:rFonts w:ascii="宋体" w:hAnsi="宋体" w:cs="宋体" w:hint="eastAsia"/>
                <w:color w:val="000000"/>
                <w:kern w:val="0"/>
                <w:szCs w:val="21"/>
              </w:rPr>
              <w:t>聘请外国专家（文教类）许可</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5</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举办高水平中外合作办学项目和机构</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6</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RW-6</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完善以老带新的青年教师培养机制；建立教师轮训制度；专业教师每五年企业实践时间累计不少于</w:t>
            </w:r>
            <w:r w:rsidRPr="00234831">
              <w:rPr>
                <w:rFonts w:ascii="Times New Roman" w:hAnsi="Times New Roman"/>
                <w:color w:val="000000"/>
                <w:kern w:val="0"/>
                <w:szCs w:val="21"/>
              </w:rPr>
              <w:t>6</w:t>
            </w:r>
            <w:r w:rsidRPr="00234831">
              <w:rPr>
                <w:rFonts w:ascii="宋体" w:hAnsi="宋体" w:cs="宋体" w:hint="eastAsia"/>
                <w:color w:val="000000"/>
                <w:kern w:val="0"/>
                <w:szCs w:val="21"/>
              </w:rPr>
              <w:t>个月</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7</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RW-7</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高等职业院校专业骨干教师国家级、省级培训计划</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8</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RW-9</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234831">
              <w:rPr>
                <w:rFonts w:ascii="Times New Roman" w:hAnsi="Times New Roman"/>
                <w:color w:val="000000"/>
                <w:kern w:val="0"/>
                <w:szCs w:val="21"/>
              </w:rPr>
              <w:t>160</w:t>
            </w:r>
            <w:r w:rsidRPr="00234831">
              <w:rPr>
                <w:rFonts w:ascii="宋体" w:hAnsi="宋体" w:cs="宋体" w:hint="eastAsia"/>
                <w:color w:val="000000"/>
                <w:kern w:val="0"/>
                <w:szCs w:val="21"/>
              </w:rPr>
              <w:t>学时为</w:t>
            </w:r>
            <w:r w:rsidRPr="00234831">
              <w:rPr>
                <w:rFonts w:ascii="Times New Roman" w:hAnsi="Times New Roman"/>
                <w:color w:val="000000"/>
                <w:kern w:val="0"/>
                <w:szCs w:val="21"/>
              </w:rPr>
              <w:t>1</w:t>
            </w:r>
            <w:r w:rsidRPr="00234831">
              <w:rPr>
                <w:rFonts w:ascii="宋体" w:hAnsi="宋体" w:cs="宋体" w:hint="eastAsia"/>
                <w:color w:val="000000"/>
                <w:kern w:val="0"/>
                <w:szCs w:val="21"/>
              </w:rPr>
              <w:t>名教师计算。</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9</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RW-11</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推动落实《职业院校数字校园建设规范》，建设高等职业教育人才培养工作状态数据管理系统</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10</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RW-12</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将信息技术应用能力作为教师评聘考核的重要依据</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11</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RW-24</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开展建设混合所有制高等职业院校的理论与实践课题研究</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12</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RW-28</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落实《教育部</w:t>
            </w:r>
            <w:r w:rsidRPr="00234831">
              <w:rPr>
                <w:rFonts w:ascii="Times New Roman" w:hAnsi="Times New Roman"/>
                <w:color w:val="000000"/>
                <w:kern w:val="0"/>
                <w:szCs w:val="21"/>
              </w:rPr>
              <w:t xml:space="preserve"> </w:t>
            </w:r>
            <w:r w:rsidRPr="00234831">
              <w:rPr>
                <w:rFonts w:ascii="宋体" w:hAnsi="宋体" w:cs="宋体" w:hint="eastAsia"/>
                <w:color w:val="000000"/>
                <w:kern w:val="0"/>
                <w:szCs w:val="21"/>
              </w:rPr>
              <w:t>人力资源社会保障部关于推进职业院校服务经济转型升级面向行业企业开展职工继续教育的意见》</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13</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RW-31</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14</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RW-35</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专科高等职业院校积极开展社区教育、老年教育活动；建立专科高等职业院校和社区教育机构联席会议制度</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15</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RW-36</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优化院校布局、调整专业结构</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16</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RW-37</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建立产业结构调整驱动专业设置与改革、产业技术进步驱动课程改革的机制</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17</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RW-38</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重点服务中国制造</w:t>
            </w:r>
            <w:r w:rsidRPr="00234831">
              <w:rPr>
                <w:rFonts w:ascii="Times New Roman" w:hAnsi="Times New Roman"/>
                <w:color w:val="000000"/>
                <w:kern w:val="0"/>
                <w:szCs w:val="21"/>
              </w:rPr>
              <w:t xml:space="preserve">2025 </w:t>
            </w:r>
            <w:r w:rsidRPr="00234831">
              <w:rPr>
                <w:rFonts w:ascii="宋体" w:hAnsi="宋体" w:cs="宋体" w:hint="eastAsia"/>
                <w:color w:val="000000"/>
                <w:kern w:val="0"/>
                <w:szCs w:val="21"/>
              </w:rPr>
              <w:t>，主动适应数字化网络化智能化制造需要，围绕强化工业基础、提升产品质量、发展制造业相关的生产性服务业调整专业、培养人才</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18</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RW-39</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优先保证新一代信息技术产业、高档数控机床和机器人、航空航天装备、海洋工程装备及高技术船舶、先进轨道交通装备、节能与新能源汽车、电力装备、</w:t>
            </w:r>
            <w:r w:rsidRPr="00234831">
              <w:rPr>
                <w:rFonts w:ascii="宋体" w:hAnsi="宋体" w:cs="宋体" w:hint="eastAsia"/>
                <w:color w:val="000000"/>
                <w:kern w:val="0"/>
                <w:szCs w:val="21"/>
              </w:rPr>
              <w:lastRenderedPageBreak/>
              <w:t>农机装备、新材料、生物医药及高性能医疗器械产业相关专业的布局与发展</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lastRenderedPageBreak/>
              <w:t>19</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RW-40</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加强现代服务业亟需人才培养，加快满足社会建设和社会管理人才需求</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20</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RW-41</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扩大与“一带一路”沿线国家的职业教育合作；服务“走出去”企业需求，培养具有国际视野、通晓国际规则的技术技能人才和中国企业海外生产经营需要的本土人才；配合“走出去”企业面向当地员工开展技术技能培训和学历职业教育；支持专科高等职业院校国（境）外办学，为周边国家培养熟悉中华传统文化、当地经济发展亟需的技术技能人才</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21</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RW-42</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促进专业教育与创新创业教育有机融合；利用各种资源建设大学科技园、大学生创业园、创业孵化基地和小</w:t>
            </w:r>
            <w:proofErr w:type="gramStart"/>
            <w:r w:rsidRPr="00234831">
              <w:rPr>
                <w:rFonts w:ascii="宋体" w:hAnsi="宋体" w:cs="宋体" w:hint="eastAsia"/>
                <w:color w:val="000000"/>
                <w:kern w:val="0"/>
                <w:szCs w:val="21"/>
              </w:rPr>
              <w:t>微企业</w:t>
            </w:r>
            <w:proofErr w:type="gramEnd"/>
            <w:r w:rsidRPr="00234831">
              <w:rPr>
                <w:rFonts w:ascii="宋体" w:hAnsi="宋体" w:cs="宋体" w:hint="eastAsia"/>
                <w:color w:val="000000"/>
                <w:kern w:val="0"/>
                <w:szCs w:val="21"/>
              </w:rPr>
              <w:t>创业基地，作为创业教育实践平台</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22</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RW-43</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23</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RW-44</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地区、有关部门整合发展财政和社会资金，支持高校学生创新创业活动。高等职业院校优化经费支出结构，多渠道统筹安排资金，支持创新创业教育教学，资助学生创新创业项目</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24</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RW-47</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加强与职业教育发达国家的政策对话，探索对发展中国家开展职业教育援助的渠道和政策</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25</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RW-48</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鼓励示范性和沿边地区高等职业院校利用学校品牌和专业优势，积极吸引境外学生来华学习</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26</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RW-50</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完成高等职业院校章程制定、修订工作</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27</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RW-51</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推动高等职业院校参照《高等学校学术委员会规程》设立学术委员会；一批（不少于</w:t>
            </w:r>
            <w:r w:rsidRPr="00234831">
              <w:rPr>
                <w:rFonts w:ascii="Times New Roman" w:hAnsi="Times New Roman"/>
                <w:color w:val="000000"/>
                <w:kern w:val="0"/>
                <w:szCs w:val="21"/>
              </w:rPr>
              <w:t>20%</w:t>
            </w:r>
            <w:r w:rsidRPr="00234831">
              <w:rPr>
                <w:rFonts w:ascii="宋体" w:hAnsi="宋体" w:cs="宋体" w:hint="eastAsia"/>
                <w:color w:val="000000"/>
                <w:kern w:val="0"/>
                <w:szCs w:val="21"/>
              </w:rPr>
              <w:t>）专科高等职业院校参照《普通高等学校理事会规程（试行）》设立理事会或董事会机构</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28</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RW-52</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巩固学校、省和国家三级高等职业教育质量年度报告制度，进一步提高年度质量报告的量化程度、可比性和可读性；强化对报告发布情况和撰写质量的监督管理</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29</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RW-53</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加强分类指导，以人才培养工作状态数据为基础，开展高职院校教学诊断和改进工作</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30</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RW-55</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一批国家示范（骨干）高等职业院校制定执行反映自身发展水平、不低于国家规定标准的“双师型”教师标准</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31</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RW-56</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推动教师分类管理、分类评价的人事管理制度改革；全面推行按岗聘用、竞聘上岗</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32</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RW-57</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制订体现高等职业教育特点的教师绩效评价标准</w:t>
            </w:r>
            <w:r w:rsidRPr="00234831">
              <w:rPr>
                <w:rFonts w:ascii="Times New Roman" w:hAnsi="Times New Roman"/>
                <w:color w:val="000000"/>
                <w:kern w:val="0"/>
                <w:szCs w:val="21"/>
              </w:rPr>
              <w:t>; 55</w:t>
            </w:r>
            <w:r w:rsidRPr="00234831">
              <w:rPr>
                <w:rFonts w:ascii="宋体" w:hAnsi="宋体" w:cs="宋体" w:hint="eastAsia"/>
                <w:color w:val="000000"/>
                <w:kern w:val="0"/>
                <w:szCs w:val="21"/>
              </w:rPr>
              <w:t>岁以下的教授、副教授每学期至少讲授一门课程</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33</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RW-58</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加强高等职业教育研究机构和队伍建设，加大投入支持相关研究工作；有条件的高等职业院校建立专门教育研究机构，开展教学研究</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34</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RW-59</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贯彻落实《高等学校辅导员职业能力标准（暂行）》</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lastRenderedPageBreak/>
              <w:t>35</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RW-60</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健全学生思想政治教育长效机制；高职院校按师生比</w:t>
            </w:r>
            <w:r w:rsidRPr="00234831">
              <w:rPr>
                <w:rFonts w:ascii="Times New Roman" w:hAnsi="Times New Roman"/>
                <w:color w:val="000000"/>
                <w:kern w:val="0"/>
                <w:szCs w:val="21"/>
              </w:rPr>
              <w:t>1:200</w:t>
            </w:r>
            <w:r w:rsidRPr="00234831">
              <w:rPr>
                <w:rFonts w:ascii="宋体" w:hAnsi="宋体" w:cs="宋体" w:hint="eastAsia"/>
                <w:color w:val="000000"/>
                <w:kern w:val="0"/>
                <w:szCs w:val="21"/>
              </w:rPr>
              <w:t>配备辅导员；心理健康教育全覆盖</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36</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RW-61</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全面推进《全国大学生思想政治教育质量测评体系（试行）》</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37</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RW-62</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创建平安校园、和谐校园</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38</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RW-63</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落实《高等学校体育工作基本标准》</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39</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RW-64</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加强文化素质教育；加强校园文化建设；支持学生社团活动</w:t>
            </w:r>
          </w:p>
        </w:tc>
      </w:tr>
      <w:tr w:rsidR="00F914B9" w:rsidRPr="00E96633" w:rsidTr="009635DB">
        <w:trPr>
          <w:trHeight w:val="397"/>
        </w:trPr>
        <w:tc>
          <w:tcPr>
            <w:tcW w:w="451" w:type="pct"/>
            <w:tcBorders>
              <w:top w:val="nil"/>
              <w:left w:val="single" w:sz="4" w:space="0" w:color="auto"/>
              <w:bottom w:val="single" w:sz="4" w:space="0" w:color="auto"/>
              <w:right w:val="single" w:sz="4" w:space="0" w:color="auto"/>
            </w:tcBorders>
            <w:shd w:val="clear" w:color="auto" w:fill="auto"/>
            <w:noWrap/>
            <w:vAlign w:val="center"/>
          </w:tcPr>
          <w:p w:rsidR="00F914B9" w:rsidRPr="00234831" w:rsidRDefault="00F914B9" w:rsidP="009635DB">
            <w:pPr>
              <w:widowControl/>
              <w:jc w:val="center"/>
              <w:rPr>
                <w:rFonts w:ascii="宋体" w:hAnsi="宋体" w:cs="宋体"/>
                <w:color w:val="000000"/>
                <w:kern w:val="0"/>
                <w:szCs w:val="21"/>
              </w:rPr>
            </w:pPr>
            <w:r w:rsidRPr="00234831">
              <w:rPr>
                <w:rFonts w:ascii="宋体" w:hAnsi="宋体" w:cs="宋体" w:hint="eastAsia"/>
                <w:color w:val="000000"/>
                <w:kern w:val="0"/>
                <w:szCs w:val="21"/>
              </w:rPr>
              <w:t>40</w:t>
            </w:r>
          </w:p>
        </w:tc>
        <w:tc>
          <w:tcPr>
            <w:tcW w:w="547"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center"/>
              <w:rPr>
                <w:rFonts w:ascii="Times New Roman" w:hAnsi="Times New Roman"/>
                <w:color w:val="000000"/>
                <w:kern w:val="0"/>
                <w:szCs w:val="21"/>
              </w:rPr>
            </w:pPr>
            <w:r w:rsidRPr="00234831">
              <w:rPr>
                <w:rFonts w:ascii="Times New Roman" w:hAnsi="Times New Roman"/>
                <w:color w:val="000000"/>
                <w:kern w:val="0"/>
                <w:szCs w:val="21"/>
              </w:rPr>
              <w:t>RW-65</w:t>
            </w:r>
          </w:p>
        </w:tc>
        <w:tc>
          <w:tcPr>
            <w:tcW w:w="4002" w:type="pct"/>
            <w:tcBorders>
              <w:top w:val="nil"/>
              <w:left w:val="nil"/>
              <w:bottom w:val="single" w:sz="4" w:space="0" w:color="auto"/>
              <w:right w:val="single" w:sz="4" w:space="0" w:color="auto"/>
            </w:tcBorders>
            <w:shd w:val="clear" w:color="auto" w:fill="auto"/>
            <w:vAlign w:val="center"/>
          </w:tcPr>
          <w:p w:rsidR="00F914B9" w:rsidRPr="00234831" w:rsidRDefault="00F914B9" w:rsidP="009635DB">
            <w:pPr>
              <w:widowControl/>
              <w:jc w:val="left"/>
              <w:rPr>
                <w:rFonts w:ascii="宋体" w:hAnsi="宋体" w:cs="宋体"/>
                <w:color w:val="000000"/>
                <w:kern w:val="0"/>
                <w:szCs w:val="21"/>
              </w:rPr>
            </w:pPr>
            <w:r w:rsidRPr="00234831">
              <w:rPr>
                <w:rFonts w:ascii="宋体" w:hAnsi="宋体" w:cs="宋体" w:hint="eastAsia"/>
                <w:color w:val="000000"/>
                <w:kern w:val="0"/>
                <w:szCs w:val="21"/>
              </w:rPr>
              <w:t>促进职业技能培养与职业精神养成相融合</w:t>
            </w:r>
          </w:p>
        </w:tc>
      </w:tr>
    </w:tbl>
    <w:p w:rsidR="00F914B9" w:rsidRPr="00234831" w:rsidRDefault="00F914B9" w:rsidP="00F914B9">
      <w:pPr>
        <w:rPr>
          <w:rFonts w:ascii="仿宋_GB2312" w:eastAsia="仿宋_GB2312"/>
          <w:sz w:val="32"/>
          <w:szCs w:val="32"/>
        </w:rPr>
      </w:pPr>
    </w:p>
    <w:p w:rsidR="00DC788A" w:rsidRPr="00F914B9" w:rsidRDefault="00DC788A"/>
    <w:sectPr w:rsidR="00DC788A" w:rsidRPr="00F914B9" w:rsidSect="00C2345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B9"/>
    <w:rsid w:val="00DC788A"/>
    <w:rsid w:val="00F9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B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B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2093</Characters>
  <Application>Microsoft Office Word</Application>
  <DocSecurity>0</DocSecurity>
  <Lines>17</Lines>
  <Paragraphs>4</Paragraphs>
  <ScaleCrop>false</ScaleCrop>
  <Company>微软中国</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胡海东</dc:creator>
  <cp:keywords/>
  <dc:description/>
  <cp:lastModifiedBy>胡海东</cp:lastModifiedBy>
  <cp:revision>1</cp:revision>
  <dcterms:created xsi:type="dcterms:W3CDTF">2016-12-29T08:12:00Z</dcterms:created>
  <dcterms:modified xsi:type="dcterms:W3CDTF">2016-12-29T08:12:00Z</dcterms:modified>
</cp:coreProperties>
</file>